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898DA" w14:textId="77777777" w:rsidR="00157265" w:rsidRDefault="00157265" w:rsidP="00157265">
      <w:pPr>
        <w:jc w:val="center"/>
        <w:rPr>
          <w:b/>
          <w:bCs/>
          <w:sz w:val="24"/>
          <w:szCs w:val="24"/>
        </w:rPr>
      </w:pPr>
      <w:r>
        <w:rPr>
          <w:b/>
          <w:bCs/>
          <w:sz w:val="24"/>
          <w:szCs w:val="24"/>
        </w:rPr>
        <w:t xml:space="preserve">ASCC Arts and Humanities 2 Panel </w:t>
      </w:r>
    </w:p>
    <w:p w14:paraId="29BCC50E" w14:textId="61143ED7" w:rsidR="00157265" w:rsidRDefault="005F2C44" w:rsidP="00157265">
      <w:pPr>
        <w:jc w:val="center"/>
        <w:rPr>
          <w:sz w:val="24"/>
          <w:szCs w:val="24"/>
        </w:rPr>
      </w:pPr>
      <w:r>
        <w:rPr>
          <w:sz w:val="24"/>
          <w:szCs w:val="24"/>
        </w:rPr>
        <w:t>A</w:t>
      </w:r>
      <w:r w:rsidR="0027020B">
        <w:rPr>
          <w:sz w:val="24"/>
          <w:szCs w:val="24"/>
        </w:rPr>
        <w:t>pproved</w:t>
      </w:r>
      <w:r w:rsidR="00157265">
        <w:rPr>
          <w:sz w:val="24"/>
          <w:szCs w:val="24"/>
        </w:rPr>
        <w:t xml:space="preserve"> Minutes</w:t>
      </w:r>
    </w:p>
    <w:p w14:paraId="49E0661A" w14:textId="7F3F81E6" w:rsidR="00157265" w:rsidRDefault="00157265" w:rsidP="00157265">
      <w:pPr>
        <w:rPr>
          <w:sz w:val="24"/>
          <w:szCs w:val="24"/>
        </w:rPr>
      </w:pPr>
      <w:r>
        <w:rPr>
          <w:sz w:val="24"/>
          <w:szCs w:val="24"/>
        </w:rPr>
        <w:t>Wednesday, September 28, 2022</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9:30 AM – 11:00 AM</w:t>
      </w:r>
    </w:p>
    <w:p w14:paraId="40B9E03E" w14:textId="77777777" w:rsidR="00157265" w:rsidRDefault="00157265" w:rsidP="00157265">
      <w:pPr>
        <w:rPr>
          <w:sz w:val="24"/>
          <w:szCs w:val="24"/>
        </w:rPr>
      </w:pPr>
      <w:r>
        <w:rPr>
          <w:sz w:val="24"/>
          <w:szCs w:val="24"/>
        </w:rPr>
        <w:t>CarmenZoom</w:t>
      </w:r>
    </w:p>
    <w:p w14:paraId="35DC7A79" w14:textId="697410A2" w:rsidR="00157265" w:rsidRPr="008808B5" w:rsidRDefault="00157265" w:rsidP="00157265">
      <w:pPr>
        <w:rPr>
          <w:b/>
          <w:bCs/>
          <w:sz w:val="24"/>
          <w:szCs w:val="24"/>
        </w:rPr>
      </w:pPr>
      <w:r>
        <w:rPr>
          <w:b/>
          <w:bCs/>
          <w:sz w:val="24"/>
          <w:szCs w:val="24"/>
        </w:rPr>
        <w:t>Attendees</w:t>
      </w:r>
      <w:r>
        <w:rPr>
          <w:sz w:val="24"/>
          <w:szCs w:val="24"/>
        </w:rPr>
        <w:t xml:space="preserve">:  Bitters, Cody, Diles, Hilty, Paulsen, Romero, Smith, Steinmetz, Vankeerbergen </w:t>
      </w:r>
    </w:p>
    <w:p w14:paraId="4BD51EA8" w14:textId="29DB32ED" w:rsidR="00D77B5E" w:rsidRDefault="00D77B5E" w:rsidP="00D77B5E">
      <w:pPr>
        <w:numPr>
          <w:ilvl w:val="0"/>
          <w:numId w:val="2"/>
        </w:numPr>
        <w:rPr>
          <w:sz w:val="24"/>
          <w:szCs w:val="24"/>
        </w:rPr>
      </w:pPr>
      <w:r w:rsidRPr="00D77B5E">
        <w:rPr>
          <w:sz w:val="24"/>
          <w:szCs w:val="24"/>
        </w:rPr>
        <w:t>Approval of 9-14-22 minutes</w:t>
      </w:r>
    </w:p>
    <w:p w14:paraId="593D6D7C" w14:textId="28AC1CCF" w:rsidR="008A38BF" w:rsidRPr="00D77B5E" w:rsidRDefault="008A38BF" w:rsidP="008A38BF">
      <w:pPr>
        <w:numPr>
          <w:ilvl w:val="1"/>
          <w:numId w:val="2"/>
        </w:numPr>
        <w:rPr>
          <w:sz w:val="24"/>
          <w:szCs w:val="24"/>
        </w:rPr>
      </w:pPr>
      <w:r>
        <w:rPr>
          <w:sz w:val="24"/>
          <w:szCs w:val="24"/>
        </w:rPr>
        <w:t xml:space="preserve">Paulsen, Diles; </w:t>
      </w:r>
      <w:r>
        <w:rPr>
          <w:b/>
          <w:bCs/>
          <w:sz w:val="24"/>
          <w:szCs w:val="24"/>
        </w:rPr>
        <w:t>unanimously approved</w:t>
      </w:r>
    </w:p>
    <w:p w14:paraId="4A05ED18" w14:textId="4860C3F3" w:rsidR="00D77B5E" w:rsidRDefault="00D77B5E" w:rsidP="00D77B5E">
      <w:pPr>
        <w:numPr>
          <w:ilvl w:val="0"/>
          <w:numId w:val="2"/>
        </w:numPr>
        <w:rPr>
          <w:sz w:val="24"/>
          <w:szCs w:val="24"/>
        </w:rPr>
      </w:pPr>
      <w:r w:rsidRPr="00D77B5E">
        <w:rPr>
          <w:sz w:val="24"/>
          <w:szCs w:val="24"/>
        </w:rPr>
        <w:t>History 2711 (new course requesting GEN Theme Sustainability) (tabled from last time)</w:t>
      </w:r>
    </w:p>
    <w:p w14:paraId="4DB55CE7" w14:textId="68AA4D24" w:rsidR="00D464D9" w:rsidRPr="00D464D9" w:rsidRDefault="00D464D9" w:rsidP="00F8506E">
      <w:pPr>
        <w:numPr>
          <w:ilvl w:val="1"/>
          <w:numId w:val="2"/>
        </w:numPr>
        <w:rPr>
          <w:sz w:val="24"/>
          <w:szCs w:val="24"/>
        </w:rPr>
      </w:pPr>
      <w:r>
        <w:rPr>
          <w:i/>
          <w:iCs/>
          <w:sz w:val="24"/>
          <w:szCs w:val="24"/>
        </w:rPr>
        <w:t>The Panel recommends including the number of credit hours for the course as well as the weekly class meeting day(s)/time in the syllabus document.</w:t>
      </w:r>
    </w:p>
    <w:p w14:paraId="459E2603" w14:textId="72A0F3DC" w:rsidR="00C80E33" w:rsidRPr="00C80E33" w:rsidRDefault="00C80E33" w:rsidP="00C80E33">
      <w:pPr>
        <w:numPr>
          <w:ilvl w:val="1"/>
          <w:numId w:val="2"/>
        </w:numPr>
        <w:rPr>
          <w:sz w:val="24"/>
          <w:szCs w:val="24"/>
        </w:rPr>
      </w:pPr>
      <w:r>
        <w:rPr>
          <w:i/>
          <w:iCs/>
          <w:sz w:val="24"/>
          <w:szCs w:val="24"/>
        </w:rPr>
        <w:t>The Panel recommends including information in the syllabus about where students can buy or access the textbooks for the course.</w:t>
      </w:r>
    </w:p>
    <w:p w14:paraId="434A10DA" w14:textId="2067B52C" w:rsidR="00F8506E" w:rsidRDefault="00CF40E6" w:rsidP="00F8506E">
      <w:pPr>
        <w:numPr>
          <w:ilvl w:val="1"/>
          <w:numId w:val="2"/>
        </w:numPr>
        <w:rPr>
          <w:sz w:val="24"/>
          <w:szCs w:val="24"/>
        </w:rPr>
      </w:pPr>
      <w:r>
        <w:rPr>
          <w:i/>
          <w:iCs/>
          <w:sz w:val="24"/>
          <w:szCs w:val="24"/>
        </w:rPr>
        <w:t xml:space="preserve">On page 5 of the syllabus, the Panel suggests expanding the description about the group project:  What form will the project take?  Approximately how many students will be in each group?  Will students submit a written paper in addition to the presentation?  </w:t>
      </w:r>
    </w:p>
    <w:p w14:paraId="311747E1" w14:textId="748C2490" w:rsidR="00A74FD3" w:rsidRDefault="00226399" w:rsidP="00F8506E">
      <w:pPr>
        <w:numPr>
          <w:ilvl w:val="1"/>
          <w:numId w:val="2"/>
        </w:numPr>
        <w:rPr>
          <w:sz w:val="24"/>
          <w:szCs w:val="24"/>
        </w:rPr>
      </w:pPr>
      <w:r>
        <w:rPr>
          <w:i/>
          <w:iCs/>
          <w:sz w:val="24"/>
          <w:szCs w:val="24"/>
        </w:rPr>
        <w:t xml:space="preserve">On page 5 of the syllabus, the Panel found the relationship between the “Course Requirements” descriptions and the stated categories in the grading breakdown unclear, as assignments are referred to by different names/phrases in each of these sections.  The Panel recommends standardizing the terminology for course components throughout the syllabus so as to avoid student confusion.  </w:t>
      </w:r>
    </w:p>
    <w:p w14:paraId="676790DB" w14:textId="398F6DED" w:rsidR="00247ADD" w:rsidRPr="00D77B5E" w:rsidRDefault="00247ADD" w:rsidP="00F8506E">
      <w:pPr>
        <w:numPr>
          <w:ilvl w:val="1"/>
          <w:numId w:val="2"/>
        </w:numPr>
        <w:rPr>
          <w:sz w:val="24"/>
          <w:szCs w:val="24"/>
        </w:rPr>
      </w:pPr>
      <w:r>
        <w:rPr>
          <w:sz w:val="24"/>
          <w:szCs w:val="24"/>
        </w:rPr>
        <w:t xml:space="preserve">Steinmetz, Diles; </w:t>
      </w:r>
      <w:r>
        <w:rPr>
          <w:b/>
          <w:bCs/>
          <w:sz w:val="24"/>
          <w:szCs w:val="24"/>
        </w:rPr>
        <w:t xml:space="preserve">unanimously approved </w:t>
      </w:r>
      <w:r>
        <w:rPr>
          <w:sz w:val="24"/>
          <w:szCs w:val="24"/>
        </w:rPr>
        <w:t xml:space="preserve">with </w:t>
      </w:r>
      <w:r w:rsidR="00BF4AA5">
        <w:rPr>
          <w:i/>
          <w:iCs/>
          <w:sz w:val="24"/>
          <w:szCs w:val="24"/>
        </w:rPr>
        <w:t>four</w:t>
      </w:r>
      <w:r w:rsidR="00115701">
        <w:rPr>
          <w:i/>
          <w:iCs/>
          <w:sz w:val="24"/>
          <w:szCs w:val="24"/>
        </w:rPr>
        <w:t xml:space="preserve"> (</w:t>
      </w:r>
      <w:r w:rsidR="00BF4AA5">
        <w:rPr>
          <w:i/>
          <w:iCs/>
          <w:sz w:val="24"/>
          <w:szCs w:val="24"/>
        </w:rPr>
        <w:t>4</w:t>
      </w:r>
      <w:r w:rsidR="00115701">
        <w:rPr>
          <w:i/>
          <w:iCs/>
          <w:sz w:val="24"/>
          <w:szCs w:val="24"/>
        </w:rPr>
        <w:t xml:space="preserve">) recommendations </w:t>
      </w:r>
      <w:r w:rsidR="00115701">
        <w:rPr>
          <w:sz w:val="24"/>
          <w:szCs w:val="24"/>
        </w:rPr>
        <w:t xml:space="preserve">(in italics above) </w:t>
      </w:r>
    </w:p>
    <w:p w14:paraId="6065984B" w14:textId="7253D618" w:rsidR="00D77B5E" w:rsidRDefault="00D77B5E" w:rsidP="00D77B5E">
      <w:pPr>
        <w:numPr>
          <w:ilvl w:val="0"/>
          <w:numId w:val="2"/>
        </w:numPr>
        <w:rPr>
          <w:sz w:val="24"/>
          <w:szCs w:val="24"/>
        </w:rPr>
      </w:pPr>
      <w:r w:rsidRPr="00D77B5E">
        <w:rPr>
          <w:sz w:val="24"/>
          <w:szCs w:val="24"/>
        </w:rPr>
        <w:t>Music 5215.03 (new course) (tabled from last time)</w:t>
      </w:r>
    </w:p>
    <w:p w14:paraId="15495580" w14:textId="0F3A00EF" w:rsidR="00F8506E" w:rsidRDefault="00397AF6" w:rsidP="00F8506E">
      <w:pPr>
        <w:numPr>
          <w:ilvl w:val="1"/>
          <w:numId w:val="2"/>
        </w:numPr>
        <w:rPr>
          <w:sz w:val="24"/>
          <w:szCs w:val="24"/>
        </w:rPr>
      </w:pPr>
      <w:r>
        <w:rPr>
          <w:i/>
          <w:iCs/>
          <w:sz w:val="24"/>
          <w:szCs w:val="24"/>
        </w:rPr>
        <w:t xml:space="preserve">What is the relationship between “preparation” and attendance in the course?  For instance, is preparation a separate component, or embedded within part of attendance?  The Panel recommends providing this clarifying information in the syllabus.  </w:t>
      </w:r>
    </w:p>
    <w:p w14:paraId="75BF269D" w14:textId="41E2E107" w:rsidR="00AB2BBF" w:rsidRPr="00AB2BBF" w:rsidRDefault="00AB6A72" w:rsidP="00AB2BBF">
      <w:pPr>
        <w:numPr>
          <w:ilvl w:val="1"/>
          <w:numId w:val="2"/>
        </w:numPr>
        <w:rPr>
          <w:i/>
          <w:iCs/>
          <w:sz w:val="24"/>
          <w:szCs w:val="24"/>
        </w:rPr>
      </w:pPr>
      <w:r w:rsidRPr="00AB2BBF">
        <w:rPr>
          <w:i/>
          <w:iCs/>
          <w:sz w:val="24"/>
          <w:szCs w:val="24"/>
        </w:rPr>
        <w:t>The Panel notes that the curriculum.osu.edu form has all campuses selected under “Campus of Offering.”  Did the department intend to check off all campuse</w:t>
      </w:r>
      <w:r w:rsidR="00AB2BBF" w:rsidRPr="00AB2BBF">
        <w:rPr>
          <w:i/>
          <w:iCs/>
          <w:sz w:val="24"/>
          <w:szCs w:val="24"/>
        </w:rPr>
        <w:t>s, or will this course be limited to certain locations?</w:t>
      </w:r>
      <w:r w:rsidR="00AB2BBF">
        <w:rPr>
          <w:i/>
          <w:iCs/>
          <w:sz w:val="24"/>
          <w:szCs w:val="24"/>
        </w:rPr>
        <w:t xml:space="preserve">  If the latter, the Panel suggests updating this </w:t>
      </w:r>
      <w:r w:rsidR="00D642CE">
        <w:rPr>
          <w:i/>
          <w:iCs/>
          <w:sz w:val="24"/>
          <w:szCs w:val="24"/>
        </w:rPr>
        <w:t xml:space="preserve">information </w:t>
      </w:r>
      <w:r w:rsidR="00AB2BBF">
        <w:rPr>
          <w:i/>
          <w:iCs/>
          <w:sz w:val="24"/>
          <w:szCs w:val="24"/>
        </w:rPr>
        <w:t>accordingly.</w:t>
      </w:r>
    </w:p>
    <w:p w14:paraId="71B3F64F" w14:textId="68E0F2D6" w:rsidR="007445A2" w:rsidRDefault="007445A2" w:rsidP="00F8506E">
      <w:pPr>
        <w:numPr>
          <w:ilvl w:val="1"/>
          <w:numId w:val="2"/>
        </w:numPr>
        <w:rPr>
          <w:sz w:val="24"/>
          <w:szCs w:val="24"/>
        </w:rPr>
      </w:pPr>
      <w:r>
        <w:rPr>
          <w:sz w:val="24"/>
          <w:szCs w:val="24"/>
        </w:rPr>
        <w:lastRenderedPageBreak/>
        <w:t xml:space="preserve">Steinmetz, Paulsen; </w:t>
      </w:r>
      <w:r>
        <w:rPr>
          <w:b/>
          <w:sz w:val="24"/>
          <w:szCs w:val="24"/>
        </w:rPr>
        <w:t xml:space="preserve">unanimously approved </w:t>
      </w:r>
      <w:r>
        <w:rPr>
          <w:bCs/>
          <w:sz w:val="24"/>
          <w:szCs w:val="24"/>
        </w:rPr>
        <w:t xml:space="preserve">with </w:t>
      </w:r>
      <w:r w:rsidR="00AB2BBF">
        <w:rPr>
          <w:bCs/>
          <w:i/>
          <w:iCs/>
          <w:sz w:val="24"/>
          <w:szCs w:val="24"/>
        </w:rPr>
        <w:t>two</w:t>
      </w:r>
      <w:r>
        <w:rPr>
          <w:bCs/>
          <w:i/>
          <w:iCs/>
          <w:sz w:val="24"/>
          <w:szCs w:val="24"/>
        </w:rPr>
        <w:t xml:space="preserve"> (</w:t>
      </w:r>
      <w:r w:rsidR="00AB2BBF">
        <w:rPr>
          <w:bCs/>
          <w:i/>
          <w:iCs/>
          <w:sz w:val="24"/>
          <w:szCs w:val="24"/>
        </w:rPr>
        <w:t>2</w:t>
      </w:r>
      <w:r>
        <w:rPr>
          <w:bCs/>
          <w:i/>
          <w:iCs/>
          <w:sz w:val="24"/>
          <w:szCs w:val="24"/>
        </w:rPr>
        <w:t>) recommendation</w:t>
      </w:r>
      <w:r w:rsidR="00555923">
        <w:rPr>
          <w:bCs/>
          <w:i/>
          <w:iCs/>
          <w:sz w:val="24"/>
          <w:szCs w:val="24"/>
        </w:rPr>
        <w:t>s</w:t>
      </w:r>
      <w:r>
        <w:rPr>
          <w:bCs/>
          <w:sz w:val="24"/>
          <w:szCs w:val="24"/>
        </w:rPr>
        <w:t xml:space="preserve"> (in italics above)</w:t>
      </w:r>
      <w:r w:rsidR="00AB2BBF">
        <w:rPr>
          <w:bCs/>
          <w:sz w:val="24"/>
          <w:szCs w:val="24"/>
        </w:rPr>
        <w:t xml:space="preserve"> </w:t>
      </w:r>
    </w:p>
    <w:p w14:paraId="349068A3" w14:textId="7B6D3A7A" w:rsidR="00D77B5E" w:rsidRDefault="00D77B5E" w:rsidP="00D77B5E">
      <w:pPr>
        <w:numPr>
          <w:ilvl w:val="0"/>
          <w:numId w:val="2"/>
        </w:numPr>
        <w:rPr>
          <w:sz w:val="24"/>
          <w:szCs w:val="24"/>
        </w:rPr>
      </w:pPr>
      <w:r w:rsidRPr="00D77B5E">
        <w:rPr>
          <w:sz w:val="24"/>
          <w:szCs w:val="24"/>
        </w:rPr>
        <w:t>Turkish 3797 (new course requesting 100%DL; also requested new GE Theme Citizenship for a Diverse and Just World with Education Abroad High Impact Practice) (return)</w:t>
      </w:r>
    </w:p>
    <w:p w14:paraId="1DF093E4" w14:textId="039F910B" w:rsidR="00C23890" w:rsidRPr="00394E7F" w:rsidRDefault="00184803" w:rsidP="007326BE">
      <w:pPr>
        <w:numPr>
          <w:ilvl w:val="1"/>
          <w:numId w:val="2"/>
        </w:numPr>
        <w:rPr>
          <w:b/>
          <w:bCs/>
          <w:sz w:val="24"/>
          <w:szCs w:val="24"/>
        </w:rPr>
      </w:pPr>
      <w:r>
        <w:rPr>
          <w:b/>
          <w:bCs/>
          <w:sz w:val="24"/>
          <w:szCs w:val="24"/>
        </w:rPr>
        <w:t>The Panel requests that the department revise the curriculum.osu.edu form to indicate the course will take place over the span of eight weeks rather than four weeks.</w:t>
      </w:r>
    </w:p>
    <w:p w14:paraId="4354B656" w14:textId="11DE8158" w:rsidR="00394E7F" w:rsidRPr="00394E7F" w:rsidRDefault="00BE40FB" w:rsidP="007326BE">
      <w:pPr>
        <w:numPr>
          <w:ilvl w:val="1"/>
          <w:numId w:val="2"/>
        </w:numPr>
        <w:rPr>
          <w:b/>
          <w:bCs/>
          <w:sz w:val="24"/>
          <w:szCs w:val="24"/>
        </w:rPr>
      </w:pPr>
      <w:r>
        <w:rPr>
          <w:b/>
          <w:bCs/>
          <w:sz w:val="24"/>
          <w:szCs w:val="24"/>
        </w:rPr>
        <w:t>The first page of the syllabus states that class meetings are 150 minutes each, when they are actually</w:t>
      </w:r>
      <w:r w:rsidR="007E4046">
        <w:rPr>
          <w:b/>
          <w:bCs/>
          <w:sz w:val="24"/>
          <w:szCs w:val="24"/>
        </w:rPr>
        <w:t xml:space="preserve"> approximately 190</w:t>
      </w:r>
      <w:r>
        <w:rPr>
          <w:b/>
          <w:bCs/>
          <w:sz w:val="24"/>
          <w:szCs w:val="24"/>
        </w:rPr>
        <w:t xml:space="preserve"> minutes each; the Panel asks that the department revise the document accordingly to reflect the correct length of class meetings.  </w:t>
      </w:r>
    </w:p>
    <w:p w14:paraId="47243DBA" w14:textId="77777777" w:rsidR="004162EA" w:rsidRPr="004162EA" w:rsidRDefault="004162EA" w:rsidP="007326BE">
      <w:pPr>
        <w:numPr>
          <w:ilvl w:val="1"/>
          <w:numId w:val="2"/>
        </w:numPr>
        <w:rPr>
          <w:sz w:val="24"/>
          <w:szCs w:val="24"/>
        </w:rPr>
      </w:pPr>
      <w:r>
        <w:rPr>
          <w:i/>
          <w:iCs/>
          <w:sz w:val="24"/>
          <w:szCs w:val="24"/>
        </w:rPr>
        <w:t xml:space="preserve">The Panel kindly notes that on page 16 of the syllabus the </w:t>
      </w:r>
      <w:r w:rsidRPr="004162EA">
        <w:rPr>
          <w:sz w:val="24"/>
          <w:szCs w:val="24"/>
        </w:rPr>
        <w:t>Cities of the Underworld</w:t>
      </w:r>
      <w:r>
        <w:rPr>
          <w:sz w:val="24"/>
          <w:szCs w:val="24"/>
        </w:rPr>
        <w:t xml:space="preserve"> </w:t>
      </w:r>
      <w:r w:rsidRPr="004162EA">
        <w:rPr>
          <w:i/>
          <w:iCs/>
          <w:sz w:val="24"/>
          <w:szCs w:val="24"/>
        </w:rPr>
        <w:t>documentary link is no longer active</w:t>
      </w:r>
      <w:r>
        <w:rPr>
          <w:sz w:val="24"/>
          <w:szCs w:val="24"/>
        </w:rPr>
        <w:t xml:space="preserve">; </w:t>
      </w:r>
      <w:r>
        <w:rPr>
          <w:i/>
          <w:iCs/>
          <w:sz w:val="24"/>
          <w:szCs w:val="24"/>
        </w:rPr>
        <w:t>the Panel recommends double-checking all linked resources to ensure students are able to access these materials</w:t>
      </w:r>
      <w:r>
        <w:rPr>
          <w:sz w:val="24"/>
          <w:szCs w:val="24"/>
        </w:rPr>
        <w:t xml:space="preserve">. </w:t>
      </w:r>
      <w:r>
        <w:rPr>
          <w:i/>
          <w:iCs/>
          <w:sz w:val="24"/>
          <w:szCs w:val="24"/>
        </w:rPr>
        <w:t xml:space="preserve"> </w:t>
      </w:r>
    </w:p>
    <w:p w14:paraId="659450F1" w14:textId="0253545A" w:rsidR="000A4947" w:rsidRPr="000A4947" w:rsidRDefault="000A4947" w:rsidP="007326BE">
      <w:pPr>
        <w:numPr>
          <w:ilvl w:val="1"/>
          <w:numId w:val="2"/>
        </w:numPr>
        <w:rPr>
          <w:sz w:val="24"/>
          <w:szCs w:val="24"/>
        </w:rPr>
      </w:pPr>
      <w:r>
        <w:rPr>
          <w:i/>
          <w:iCs/>
          <w:sz w:val="24"/>
          <w:szCs w:val="24"/>
        </w:rPr>
        <w:t>On page 7 of the syllabus, the header for the “Online Discussion Posts” section indicates</w:t>
      </w:r>
      <w:r w:rsidR="00037A7F">
        <w:rPr>
          <w:i/>
          <w:iCs/>
          <w:sz w:val="24"/>
          <w:szCs w:val="24"/>
        </w:rPr>
        <w:t xml:space="preserve"> that</w:t>
      </w:r>
      <w:r>
        <w:rPr>
          <w:i/>
          <w:iCs/>
          <w:sz w:val="24"/>
          <w:szCs w:val="24"/>
        </w:rPr>
        <w:t xml:space="preserve"> there will be four required posts, while the assignment description under the header states that there will be five.  The Panel suggests clarifying the number of discussion posts students can anticipate</w:t>
      </w:r>
      <w:r w:rsidR="00037A7F">
        <w:rPr>
          <w:i/>
          <w:iCs/>
          <w:sz w:val="24"/>
          <w:szCs w:val="24"/>
        </w:rPr>
        <w:t xml:space="preserve"> completing during the term,</w:t>
      </w:r>
      <w:r>
        <w:rPr>
          <w:i/>
          <w:iCs/>
          <w:sz w:val="24"/>
          <w:szCs w:val="24"/>
        </w:rPr>
        <w:t xml:space="preserve"> and also ensuring that this information is consistent throughout the document.</w:t>
      </w:r>
    </w:p>
    <w:p w14:paraId="6C0725FE" w14:textId="7400AB25" w:rsidR="0081317F" w:rsidRPr="0081317F" w:rsidRDefault="0081317F" w:rsidP="007326BE">
      <w:pPr>
        <w:numPr>
          <w:ilvl w:val="1"/>
          <w:numId w:val="2"/>
        </w:numPr>
        <w:rPr>
          <w:sz w:val="24"/>
          <w:szCs w:val="24"/>
        </w:rPr>
      </w:pPr>
      <w:r>
        <w:rPr>
          <w:i/>
          <w:iCs/>
          <w:sz w:val="24"/>
          <w:szCs w:val="24"/>
        </w:rPr>
        <w:t>On the GE Theme worksheet, the Panel kindly notes the following discrepancies and suggests editing them accordingly to match the information provided in the syllabus document:</w:t>
      </w:r>
    </w:p>
    <w:p w14:paraId="026704C5" w14:textId="3C19B190" w:rsidR="0081317F" w:rsidRPr="00B562B6" w:rsidRDefault="0081317F" w:rsidP="0081317F">
      <w:pPr>
        <w:numPr>
          <w:ilvl w:val="2"/>
          <w:numId w:val="2"/>
        </w:numPr>
        <w:rPr>
          <w:sz w:val="24"/>
          <w:szCs w:val="24"/>
        </w:rPr>
      </w:pPr>
      <w:r>
        <w:rPr>
          <w:i/>
          <w:iCs/>
          <w:sz w:val="24"/>
          <w:szCs w:val="24"/>
        </w:rPr>
        <w:t>The response for ELO 2.1 states that there are four reflection assignments, whereas the syllabus indicates that there are actually six in total.</w:t>
      </w:r>
    </w:p>
    <w:p w14:paraId="40BDABF1" w14:textId="178CD485" w:rsidR="00B562B6" w:rsidRDefault="00B562B6" w:rsidP="0081317F">
      <w:pPr>
        <w:numPr>
          <w:ilvl w:val="2"/>
          <w:numId w:val="2"/>
        </w:numPr>
        <w:rPr>
          <w:sz w:val="24"/>
          <w:szCs w:val="24"/>
        </w:rPr>
      </w:pPr>
      <w:r>
        <w:rPr>
          <w:i/>
          <w:iCs/>
          <w:sz w:val="24"/>
          <w:szCs w:val="24"/>
        </w:rPr>
        <w:t xml:space="preserve">Multiple responses refer to the course being a four-week accelerated model, whereas the </w:t>
      </w:r>
      <w:r w:rsidR="008359DB">
        <w:rPr>
          <w:i/>
          <w:iCs/>
          <w:sz w:val="24"/>
          <w:szCs w:val="24"/>
        </w:rPr>
        <w:t>most recent</w:t>
      </w:r>
      <w:r>
        <w:rPr>
          <w:i/>
          <w:iCs/>
          <w:sz w:val="24"/>
          <w:szCs w:val="24"/>
        </w:rPr>
        <w:t xml:space="preserve"> version of the syllabus is for an eight-week format.</w:t>
      </w:r>
    </w:p>
    <w:p w14:paraId="4C2789EC" w14:textId="0FA0A1D1" w:rsidR="00506F46" w:rsidRPr="00D019ED" w:rsidRDefault="00D62589" w:rsidP="007326BE">
      <w:pPr>
        <w:numPr>
          <w:ilvl w:val="1"/>
          <w:numId w:val="2"/>
        </w:numPr>
        <w:rPr>
          <w:sz w:val="24"/>
          <w:szCs w:val="24"/>
        </w:rPr>
      </w:pPr>
      <w:r>
        <w:rPr>
          <w:i/>
          <w:iCs/>
          <w:sz w:val="24"/>
          <w:szCs w:val="24"/>
        </w:rPr>
        <w:t xml:space="preserve">The Panel </w:t>
      </w:r>
      <w:r w:rsidR="008359DB">
        <w:rPr>
          <w:i/>
          <w:iCs/>
          <w:sz w:val="24"/>
          <w:szCs w:val="24"/>
        </w:rPr>
        <w:t xml:space="preserve">found the ways the course proposal materials currently represent and account for credit hours requirements unclear.  </w:t>
      </w:r>
      <w:r w:rsidR="007C2A00">
        <w:rPr>
          <w:i/>
          <w:iCs/>
          <w:sz w:val="24"/>
          <w:szCs w:val="24"/>
        </w:rPr>
        <w:t>The Panel recommends</w:t>
      </w:r>
      <w:r w:rsidR="008C429E">
        <w:rPr>
          <w:i/>
          <w:iCs/>
          <w:sz w:val="24"/>
          <w:szCs w:val="24"/>
        </w:rPr>
        <w:t xml:space="preserve"> </w:t>
      </w:r>
      <w:r w:rsidR="00227EE8">
        <w:rPr>
          <w:i/>
          <w:iCs/>
          <w:sz w:val="24"/>
          <w:szCs w:val="24"/>
        </w:rPr>
        <w:t xml:space="preserve">evaluating </w:t>
      </w:r>
      <w:r w:rsidR="001322C2">
        <w:rPr>
          <w:i/>
          <w:iCs/>
          <w:sz w:val="24"/>
          <w:szCs w:val="24"/>
        </w:rPr>
        <w:t xml:space="preserve">how much work students </w:t>
      </w:r>
      <w:r w:rsidR="008C429E">
        <w:rPr>
          <w:i/>
          <w:iCs/>
          <w:sz w:val="24"/>
          <w:szCs w:val="24"/>
        </w:rPr>
        <w:t xml:space="preserve">will </w:t>
      </w:r>
      <w:r w:rsidR="001322C2">
        <w:rPr>
          <w:i/>
          <w:iCs/>
          <w:sz w:val="24"/>
          <w:szCs w:val="24"/>
        </w:rPr>
        <w:t>be doing in the synchronous sessions</w:t>
      </w:r>
      <w:r w:rsidR="008C429E">
        <w:rPr>
          <w:i/>
          <w:iCs/>
          <w:sz w:val="24"/>
          <w:szCs w:val="24"/>
        </w:rPr>
        <w:t>.  F</w:t>
      </w:r>
      <w:r w:rsidR="00CD261C">
        <w:rPr>
          <w:i/>
          <w:iCs/>
          <w:sz w:val="24"/>
          <w:szCs w:val="24"/>
        </w:rPr>
        <w:t xml:space="preserve">or example, </w:t>
      </w:r>
      <w:r w:rsidR="005D1DB7">
        <w:rPr>
          <w:i/>
          <w:iCs/>
          <w:sz w:val="24"/>
          <w:szCs w:val="24"/>
        </w:rPr>
        <w:t xml:space="preserve">are they just watching videos or are they engaging in </w:t>
      </w:r>
      <w:r w:rsidR="00CD261C">
        <w:rPr>
          <w:i/>
          <w:iCs/>
          <w:sz w:val="24"/>
          <w:szCs w:val="24"/>
        </w:rPr>
        <w:t xml:space="preserve">discussions (oral and/or </w:t>
      </w:r>
      <w:r w:rsidR="00404FD6">
        <w:rPr>
          <w:i/>
          <w:iCs/>
          <w:sz w:val="24"/>
          <w:szCs w:val="24"/>
        </w:rPr>
        <w:t>written)</w:t>
      </w:r>
      <w:r w:rsidR="008C429E">
        <w:rPr>
          <w:i/>
          <w:iCs/>
          <w:sz w:val="24"/>
          <w:szCs w:val="24"/>
        </w:rPr>
        <w:t>?  H</w:t>
      </w:r>
      <w:r w:rsidR="00404FD6">
        <w:rPr>
          <w:i/>
          <w:iCs/>
          <w:sz w:val="24"/>
          <w:szCs w:val="24"/>
        </w:rPr>
        <w:t>ow much work do they have to do at home (</w:t>
      </w:r>
      <w:r w:rsidR="008F55DD">
        <w:rPr>
          <w:i/>
          <w:iCs/>
          <w:sz w:val="24"/>
          <w:szCs w:val="24"/>
        </w:rPr>
        <w:t>consider</w:t>
      </w:r>
      <w:r w:rsidR="008C429E">
        <w:rPr>
          <w:i/>
          <w:iCs/>
          <w:sz w:val="24"/>
          <w:szCs w:val="24"/>
        </w:rPr>
        <w:t xml:space="preserve"> both</w:t>
      </w:r>
      <w:r w:rsidR="008F55DD">
        <w:rPr>
          <w:i/>
          <w:iCs/>
          <w:sz w:val="24"/>
          <w:szCs w:val="24"/>
        </w:rPr>
        <w:t xml:space="preserve"> length and difficulty of readings)</w:t>
      </w:r>
      <w:r w:rsidR="008C429E">
        <w:rPr>
          <w:i/>
          <w:iCs/>
          <w:sz w:val="24"/>
          <w:szCs w:val="24"/>
        </w:rPr>
        <w:t>?</w:t>
      </w:r>
    </w:p>
    <w:p w14:paraId="206C998E" w14:textId="434ABF16" w:rsidR="00D019ED" w:rsidRDefault="00D019ED" w:rsidP="00D019ED">
      <w:pPr>
        <w:numPr>
          <w:ilvl w:val="2"/>
          <w:numId w:val="2"/>
        </w:numPr>
        <w:rPr>
          <w:sz w:val="24"/>
          <w:szCs w:val="24"/>
        </w:rPr>
      </w:pPr>
      <w:r>
        <w:rPr>
          <w:i/>
          <w:iCs/>
          <w:sz w:val="24"/>
          <w:szCs w:val="24"/>
        </w:rPr>
        <w:lastRenderedPageBreak/>
        <w:t xml:space="preserve">More specifically, </w:t>
      </w:r>
      <w:r w:rsidRPr="00D019ED">
        <w:rPr>
          <w:i/>
          <w:iCs/>
          <w:sz w:val="24"/>
          <w:szCs w:val="24"/>
        </w:rPr>
        <w:t>the credit hour rationale spreadsheet is unclear. According to the information supplied for “Formalized instruction”, the class meetings themselves account for 4 credit hours. On the other hand, it is not clear that the activities listed in the course schedule will in fact account for 375 minutes of interaction per week. Will there be the equivalent of 12.5 hours of homework per week? Also, please note that the activities listed under “Structured Educational Experiences” seem more like homework than what OIA means by structured educational experiences https://asccas.osu.edu/curriculum/credit-allocation-guidelines-education-abroad-programs . Both formalized instruction and structured educational experiences are normally taken into account when calculating credit allocation.</w:t>
      </w:r>
    </w:p>
    <w:p w14:paraId="108B38B0" w14:textId="50E1D44F" w:rsidR="00797069" w:rsidRDefault="00797069" w:rsidP="007326BE">
      <w:pPr>
        <w:numPr>
          <w:ilvl w:val="1"/>
          <w:numId w:val="2"/>
        </w:numPr>
        <w:rPr>
          <w:sz w:val="24"/>
          <w:szCs w:val="24"/>
        </w:rPr>
      </w:pPr>
      <w:r>
        <w:rPr>
          <w:sz w:val="24"/>
          <w:szCs w:val="24"/>
        </w:rPr>
        <w:t>Steinmetz, Paulsen</w:t>
      </w:r>
      <w:r w:rsidR="00D62589">
        <w:rPr>
          <w:sz w:val="24"/>
          <w:szCs w:val="24"/>
        </w:rPr>
        <w:t xml:space="preserve"> (Diles abstention)</w:t>
      </w:r>
      <w:r>
        <w:rPr>
          <w:sz w:val="24"/>
          <w:szCs w:val="24"/>
        </w:rPr>
        <w:t xml:space="preserve">; </w:t>
      </w:r>
      <w:r>
        <w:rPr>
          <w:b/>
          <w:bCs/>
          <w:sz w:val="24"/>
          <w:szCs w:val="24"/>
        </w:rPr>
        <w:t xml:space="preserve">unanimously approved </w:t>
      </w:r>
      <w:r w:rsidR="00A64CAA">
        <w:rPr>
          <w:sz w:val="24"/>
          <w:szCs w:val="24"/>
        </w:rPr>
        <w:t xml:space="preserve">with </w:t>
      </w:r>
      <w:r w:rsidR="00A64CAA">
        <w:rPr>
          <w:b/>
          <w:bCs/>
          <w:sz w:val="24"/>
          <w:szCs w:val="24"/>
        </w:rPr>
        <w:t xml:space="preserve">two (2) contingencies </w:t>
      </w:r>
      <w:r w:rsidR="00A64CAA">
        <w:rPr>
          <w:sz w:val="24"/>
          <w:szCs w:val="24"/>
        </w:rPr>
        <w:t>(in bold above)</w:t>
      </w:r>
      <w:r w:rsidR="00D62589">
        <w:rPr>
          <w:sz w:val="24"/>
          <w:szCs w:val="24"/>
        </w:rPr>
        <w:t xml:space="preserve"> and </w:t>
      </w:r>
      <w:r w:rsidR="00D62589">
        <w:rPr>
          <w:i/>
          <w:iCs/>
          <w:sz w:val="24"/>
          <w:szCs w:val="24"/>
        </w:rPr>
        <w:t xml:space="preserve">four (4) recommendations </w:t>
      </w:r>
      <w:r w:rsidR="00D62589">
        <w:rPr>
          <w:sz w:val="24"/>
          <w:szCs w:val="24"/>
        </w:rPr>
        <w:t>(in italics above)</w:t>
      </w:r>
    </w:p>
    <w:p w14:paraId="230B0491" w14:textId="15176CF1" w:rsidR="00D77B5E" w:rsidRDefault="00D77B5E" w:rsidP="00D77B5E">
      <w:pPr>
        <w:numPr>
          <w:ilvl w:val="0"/>
          <w:numId w:val="2"/>
        </w:numPr>
        <w:rPr>
          <w:sz w:val="24"/>
          <w:szCs w:val="24"/>
        </w:rPr>
      </w:pPr>
      <w:r w:rsidRPr="00D77B5E">
        <w:rPr>
          <w:sz w:val="24"/>
          <w:szCs w:val="24"/>
        </w:rPr>
        <w:t>Dance 2500 (new course requesting 100% DL delivery &amp; GEN Foundation Literary, Visual, and Performing Arts; also requesting GEN Foundation REGD)</w:t>
      </w:r>
    </w:p>
    <w:p w14:paraId="6CD16056" w14:textId="732C71D5" w:rsidR="00455285" w:rsidRPr="00AB6A72" w:rsidRDefault="009D0E15" w:rsidP="00AB6A72">
      <w:pPr>
        <w:numPr>
          <w:ilvl w:val="1"/>
          <w:numId w:val="2"/>
        </w:numPr>
        <w:rPr>
          <w:sz w:val="24"/>
          <w:szCs w:val="24"/>
        </w:rPr>
      </w:pPr>
      <w:r>
        <w:rPr>
          <w:sz w:val="24"/>
          <w:szCs w:val="24"/>
        </w:rPr>
        <w:t xml:space="preserve">Steinmetz, Diles; </w:t>
      </w:r>
      <w:r>
        <w:rPr>
          <w:b/>
          <w:bCs/>
          <w:sz w:val="24"/>
          <w:szCs w:val="24"/>
        </w:rPr>
        <w:t>unanimously approved</w:t>
      </w:r>
    </w:p>
    <w:p w14:paraId="0872D281" w14:textId="77777777" w:rsidR="005459D7" w:rsidRPr="00FF0E7D" w:rsidRDefault="005459D7">
      <w:pPr>
        <w:rPr>
          <w:sz w:val="24"/>
          <w:szCs w:val="24"/>
        </w:rPr>
      </w:pPr>
    </w:p>
    <w:sectPr w:rsidR="005459D7" w:rsidRPr="00FF0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40BD0"/>
    <w:multiLevelType w:val="multilevel"/>
    <w:tmpl w:val="CC849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947FFB"/>
    <w:multiLevelType w:val="multilevel"/>
    <w:tmpl w:val="E134434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2300585">
    <w:abstractNumId w:val="0"/>
  </w:num>
  <w:num w:numId="2" w16cid:durableId="675575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B5E"/>
    <w:rsid w:val="00037A7F"/>
    <w:rsid w:val="000444B9"/>
    <w:rsid w:val="0009339D"/>
    <w:rsid w:val="00096148"/>
    <w:rsid w:val="000A4947"/>
    <w:rsid w:val="001045FC"/>
    <w:rsid w:val="00115701"/>
    <w:rsid w:val="001267F9"/>
    <w:rsid w:val="001322C2"/>
    <w:rsid w:val="00157265"/>
    <w:rsid w:val="00170B0B"/>
    <w:rsid w:val="00184803"/>
    <w:rsid w:val="00187016"/>
    <w:rsid w:val="001D4892"/>
    <w:rsid w:val="00226399"/>
    <w:rsid w:val="0022715B"/>
    <w:rsid w:val="00227EE8"/>
    <w:rsid w:val="00234114"/>
    <w:rsid w:val="00247ADD"/>
    <w:rsid w:val="0027020B"/>
    <w:rsid w:val="002B0913"/>
    <w:rsid w:val="002B5235"/>
    <w:rsid w:val="002F66D1"/>
    <w:rsid w:val="00394E7F"/>
    <w:rsid w:val="00397AF6"/>
    <w:rsid w:val="003A0D10"/>
    <w:rsid w:val="003D523D"/>
    <w:rsid w:val="00404FD6"/>
    <w:rsid w:val="00406381"/>
    <w:rsid w:val="004162EA"/>
    <w:rsid w:val="00426036"/>
    <w:rsid w:val="00446834"/>
    <w:rsid w:val="00451989"/>
    <w:rsid w:val="00455285"/>
    <w:rsid w:val="0047039C"/>
    <w:rsid w:val="004A5C96"/>
    <w:rsid w:val="004D2DBE"/>
    <w:rsid w:val="004E7C76"/>
    <w:rsid w:val="00506F46"/>
    <w:rsid w:val="00524A47"/>
    <w:rsid w:val="005459D7"/>
    <w:rsid w:val="00555923"/>
    <w:rsid w:val="00570FDC"/>
    <w:rsid w:val="005823D6"/>
    <w:rsid w:val="005872E5"/>
    <w:rsid w:val="005D1DB7"/>
    <w:rsid w:val="005F2C44"/>
    <w:rsid w:val="0060139C"/>
    <w:rsid w:val="006E6934"/>
    <w:rsid w:val="007326BE"/>
    <w:rsid w:val="00736F6E"/>
    <w:rsid w:val="007445A2"/>
    <w:rsid w:val="007457F2"/>
    <w:rsid w:val="00797069"/>
    <w:rsid w:val="007C2A00"/>
    <w:rsid w:val="007E4046"/>
    <w:rsid w:val="0080095B"/>
    <w:rsid w:val="008115F3"/>
    <w:rsid w:val="0081317F"/>
    <w:rsid w:val="008359DB"/>
    <w:rsid w:val="008A38BF"/>
    <w:rsid w:val="008B3A85"/>
    <w:rsid w:val="008C429E"/>
    <w:rsid w:val="008E33DC"/>
    <w:rsid w:val="008E61A0"/>
    <w:rsid w:val="008F55DD"/>
    <w:rsid w:val="0097557F"/>
    <w:rsid w:val="009D0E15"/>
    <w:rsid w:val="00A37491"/>
    <w:rsid w:val="00A514F1"/>
    <w:rsid w:val="00A64CAA"/>
    <w:rsid w:val="00A74FD3"/>
    <w:rsid w:val="00AB2BBF"/>
    <w:rsid w:val="00AB6A72"/>
    <w:rsid w:val="00B562B6"/>
    <w:rsid w:val="00B729A0"/>
    <w:rsid w:val="00BE40FB"/>
    <w:rsid w:val="00BF38ED"/>
    <w:rsid w:val="00BF4AA5"/>
    <w:rsid w:val="00C23890"/>
    <w:rsid w:val="00C80E33"/>
    <w:rsid w:val="00CA00A1"/>
    <w:rsid w:val="00CD261C"/>
    <w:rsid w:val="00CF40E6"/>
    <w:rsid w:val="00D019ED"/>
    <w:rsid w:val="00D15C64"/>
    <w:rsid w:val="00D464D9"/>
    <w:rsid w:val="00D62589"/>
    <w:rsid w:val="00D642CE"/>
    <w:rsid w:val="00D77341"/>
    <w:rsid w:val="00D77B5E"/>
    <w:rsid w:val="00DD15AD"/>
    <w:rsid w:val="00DE4772"/>
    <w:rsid w:val="00EA27DC"/>
    <w:rsid w:val="00EC5901"/>
    <w:rsid w:val="00F018C6"/>
    <w:rsid w:val="00F8506E"/>
    <w:rsid w:val="00FF0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A3EA0"/>
  <w15:chartTrackingRefBased/>
  <w15:docId w15:val="{306A0E62-4261-47CE-BDC1-4FB3F1D2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265"/>
    <w:pPr>
      <w:ind w:left="720"/>
      <w:contextualSpacing/>
    </w:pPr>
  </w:style>
  <w:style w:type="character" w:styleId="CommentReference">
    <w:name w:val="annotation reference"/>
    <w:basedOn w:val="DefaultParagraphFont"/>
    <w:uiPriority w:val="99"/>
    <w:semiHidden/>
    <w:unhideWhenUsed/>
    <w:rsid w:val="007C2A00"/>
    <w:rPr>
      <w:sz w:val="16"/>
      <w:szCs w:val="16"/>
    </w:rPr>
  </w:style>
  <w:style w:type="paragraph" w:styleId="CommentText">
    <w:name w:val="annotation text"/>
    <w:basedOn w:val="Normal"/>
    <w:link w:val="CommentTextChar"/>
    <w:uiPriority w:val="99"/>
    <w:unhideWhenUsed/>
    <w:rsid w:val="007C2A00"/>
    <w:pPr>
      <w:spacing w:line="240" w:lineRule="auto"/>
    </w:pPr>
    <w:rPr>
      <w:sz w:val="20"/>
      <w:szCs w:val="20"/>
    </w:rPr>
  </w:style>
  <w:style w:type="character" w:customStyle="1" w:styleId="CommentTextChar">
    <w:name w:val="Comment Text Char"/>
    <w:basedOn w:val="DefaultParagraphFont"/>
    <w:link w:val="CommentText"/>
    <w:uiPriority w:val="99"/>
    <w:rsid w:val="007C2A00"/>
    <w:rPr>
      <w:sz w:val="20"/>
      <w:szCs w:val="20"/>
    </w:rPr>
  </w:style>
  <w:style w:type="paragraph" w:styleId="CommentSubject">
    <w:name w:val="annotation subject"/>
    <w:basedOn w:val="CommentText"/>
    <w:next w:val="CommentText"/>
    <w:link w:val="CommentSubjectChar"/>
    <w:uiPriority w:val="99"/>
    <w:semiHidden/>
    <w:unhideWhenUsed/>
    <w:rsid w:val="007C2A00"/>
    <w:rPr>
      <w:b/>
      <w:bCs/>
    </w:rPr>
  </w:style>
  <w:style w:type="character" w:customStyle="1" w:styleId="CommentSubjectChar">
    <w:name w:val="Comment Subject Char"/>
    <w:basedOn w:val="CommentTextChar"/>
    <w:link w:val="CommentSubject"/>
    <w:uiPriority w:val="99"/>
    <w:semiHidden/>
    <w:rsid w:val="007C2A00"/>
    <w:rPr>
      <w:b/>
      <w:bCs/>
      <w:sz w:val="20"/>
      <w:szCs w:val="20"/>
    </w:rPr>
  </w:style>
  <w:style w:type="paragraph" w:styleId="BalloonText">
    <w:name w:val="Balloon Text"/>
    <w:basedOn w:val="Normal"/>
    <w:link w:val="BalloonTextChar"/>
    <w:uiPriority w:val="99"/>
    <w:semiHidden/>
    <w:unhideWhenUsed/>
    <w:rsid w:val="004260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036"/>
    <w:rPr>
      <w:rFonts w:ascii="Segoe UI" w:hAnsi="Segoe UI" w:cs="Segoe UI"/>
      <w:sz w:val="18"/>
      <w:szCs w:val="18"/>
    </w:rPr>
  </w:style>
  <w:style w:type="character" w:styleId="Hyperlink">
    <w:name w:val="Hyperlink"/>
    <w:basedOn w:val="DefaultParagraphFont"/>
    <w:uiPriority w:val="99"/>
    <w:unhideWhenUsed/>
    <w:rsid w:val="0047039C"/>
    <w:rPr>
      <w:color w:val="0563C1" w:themeColor="hyperlink"/>
      <w:u w:val="single"/>
    </w:rPr>
  </w:style>
  <w:style w:type="paragraph" w:styleId="Revision">
    <w:name w:val="Revision"/>
    <w:hidden/>
    <w:uiPriority w:val="99"/>
    <w:semiHidden/>
    <w:rsid w:val="002F66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70034">
      <w:bodyDiv w:val="1"/>
      <w:marLeft w:val="0"/>
      <w:marRight w:val="0"/>
      <w:marTop w:val="0"/>
      <w:marBottom w:val="0"/>
      <w:divBdr>
        <w:top w:val="none" w:sz="0" w:space="0" w:color="auto"/>
        <w:left w:val="none" w:sz="0" w:space="0" w:color="auto"/>
        <w:bottom w:val="none" w:sz="0" w:space="0" w:color="auto"/>
        <w:right w:val="none" w:sz="0" w:space="0" w:color="auto"/>
      </w:divBdr>
    </w:div>
    <w:div w:id="454520738">
      <w:bodyDiv w:val="1"/>
      <w:marLeft w:val="0"/>
      <w:marRight w:val="0"/>
      <w:marTop w:val="0"/>
      <w:marBottom w:val="0"/>
      <w:divBdr>
        <w:top w:val="none" w:sz="0" w:space="0" w:color="auto"/>
        <w:left w:val="none" w:sz="0" w:space="0" w:color="auto"/>
        <w:bottom w:val="none" w:sz="0" w:space="0" w:color="auto"/>
        <w:right w:val="none" w:sz="0" w:space="0" w:color="auto"/>
      </w:divBdr>
    </w:div>
    <w:div w:id="71998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Emily</dc:creator>
  <cp:keywords/>
  <dc:description/>
  <cp:lastModifiedBy>Cody, Emily</cp:lastModifiedBy>
  <cp:revision>3</cp:revision>
  <dcterms:created xsi:type="dcterms:W3CDTF">2022-10-12T14:48:00Z</dcterms:created>
  <dcterms:modified xsi:type="dcterms:W3CDTF">2022-10-12T14:48:00Z</dcterms:modified>
</cp:coreProperties>
</file>